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3C" w:rsidRDefault="00DB3A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aktualnych norm EMC przetłumaczonych </w:t>
      </w:r>
    </w:p>
    <w:p w:rsidR="00DB3A3C" w:rsidRDefault="00DB3A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przez Komitet Techniczny 104 na język polski (stan: luty 2013)</w:t>
      </w:r>
    </w:p>
    <w:p w:rsidR="00DB3A3C" w:rsidRDefault="00DB3A3C">
      <w:pPr>
        <w:numPr>
          <w:ilvl w:val="0"/>
          <w:numId w:val="2"/>
        </w:numPr>
        <w:tabs>
          <w:tab w:val="clear" w:pos="360"/>
          <w:tab w:val="left" w:pos="397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 nawiasach podano rok przyjęcia normy oryginalnej, na podstawie której przyjęto PN.</w:t>
      </w:r>
    </w:p>
    <w:p w:rsidR="00DB3A3C" w:rsidRDefault="00DB3A3C">
      <w:pPr>
        <w:numPr>
          <w:ilvl w:val="0"/>
          <w:numId w:val="2"/>
        </w:numPr>
        <w:tabs>
          <w:tab w:val="clear" w:pos="360"/>
          <w:tab w:val="left" w:pos="397"/>
        </w:tabs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Dla wygody użytkownika, mimo zastąpienia danej normy tłumaczonej wersją uznaniową, utrzymano w wykazie normę w języku polskim pomimo, ale trzeba pamiętać, że jest już ona nieaktualna.</w:t>
      </w:r>
    </w:p>
    <w:p w:rsidR="00DB3A3C" w:rsidRDefault="00DB3A3C">
      <w:pPr>
        <w:numPr>
          <w:ilvl w:val="0"/>
          <w:numId w:val="2"/>
        </w:numPr>
        <w:tabs>
          <w:tab w:val="clear" w:pos="360"/>
          <w:tab w:val="left" w:pos="397"/>
        </w:tabs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Przy używaniu wykazu należy w każdym przypadku sprawdzać, czy dana norma po 12.2012 nie jest już zastąpiona nową wersją przyjętą uznaniowo lub tłumaczoną.</w:t>
      </w:r>
    </w:p>
    <w:p w:rsidR="00DB3A3C" w:rsidRDefault="00DB3A3C">
      <w:pPr>
        <w:rPr>
          <w:rFonts w:ascii="Arial" w:hAnsi="Arial" w:cs="Arial"/>
        </w:rPr>
      </w:pPr>
    </w:p>
    <w:p w:rsidR="00DB3A3C" w:rsidRDefault="00DB3A3C">
      <w:pPr>
        <w:rPr>
          <w:rFonts w:ascii="Arial" w:hAnsi="Arial" w:cs="Arial"/>
        </w:rPr>
      </w:pPr>
    </w:p>
    <w:tbl>
      <w:tblPr>
        <w:tblW w:w="95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9072"/>
      </w:tblGrid>
      <w:tr w:rsidR="00DB3A3C" w:rsidRPr="00810B8B">
        <w:trPr>
          <w:trHeight w:val="745"/>
        </w:trPr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eastAsiaTheme="minorEastAsia" w:cstheme="minorBidi"/>
              </w:rPr>
              <w:br w:type="page"/>
            </w: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810B8B">
              <w:rPr>
                <w:rFonts w:ascii="Arial" w:eastAsiaTheme="minorEastAsia" w:hAnsi="Arial" w:cs="Arial"/>
              </w:rPr>
              <w:t>PN-T-01030:12.1996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(IEC 50(161):1990)</w:t>
            </w:r>
            <w:r w:rsidRPr="00810B8B">
              <w:rPr>
                <w:rFonts w:ascii="Arial" w:eastAsiaTheme="minorEastAsia" w:hAnsi="Arial" w:cs="Arial"/>
              </w:rPr>
              <w:t xml:space="preserve">, </w:t>
            </w:r>
            <w:r w:rsidRPr="00810B8B">
              <w:rPr>
                <w:rFonts w:ascii="Arial" w:eastAsiaTheme="minorEastAsia" w:hAnsi="Arial" w:cs="Arial"/>
              </w:rPr>
              <w:br/>
              <w:t>Kompatybilność elektromagnetyczna – Terminologia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PN-T-01030:1996/A1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(IEC TR 1000-1-1:1992)</w:t>
            </w:r>
            <w:r w:rsidRPr="00810B8B">
              <w:rPr>
                <w:rFonts w:ascii="Arial" w:eastAsiaTheme="minorEastAsia" w:hAnsi="Arial" w:cs="Arial"/>
              </w:rPr>
              <w:t xml:space="preserve">, </w:t>
            </w:r>
            <w:r w:rsidRPr="00810B8B">
              <w:rPr>
                <w:rFonts w:ascii="Arial" w:eastAsiaTheme="minorEastAsia" w:hAnsi="Arial" w:cs="Arial"/>
              </w:rPr>
              <w:br/>
              <w:t>Kompatybilność elektromagnetyczna – Terminologia (Zmiana A1)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567"/>
              </w:tabs>
              <w:jc w:val="both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PN-T-04519:1997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(CISPR 19:1983), </w:t>
            </w:r>
            <w:r w:rsidRPr="00810B8B">
              <w:rPr>
                <w:rFonts w:ascii="Arial" w:eastAsiaTheme="minorEastAsia" w:hAnsi="Arial" w:cs="Arial"/>
              </w:rPr>
              <w:t>Kompatybilność elektromagnetyczna – Zastosowanie metody podstawienia w pomiarach promieniowania wytwarzanego przez piece mikrofalowe w zakresie częstotliwości powyżej 1 GHz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PN-T-84713:2011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(2005), (ETSI ES 202 056 V.1.1.1:2005),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Kompatybilność elektromagnetyczna i zagadnienia widma radiowego (ERM) – Anteny aktywne stosowane przy odbiorze radiofonicznym i telewizyjnym w zakresie częstotliwości od 47 MHz do 860 MHz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PN-T-84714:2011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(2005), (ETSI ES 202 127 V.1.1.1:2005),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Kompatybilność elektromagnetyczna i zagadnienia widma radiowego (ERM) – Wzmacniacze i przedwzmacniacze w.cz. stosowane przy odbiorze radiofonicznym i telewizyjnym w zakresie częstotliwości od 47 MHz do 860 MHz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50083-2:02.2008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(2006)</w:t>
            </w:r>
            <w:r w:rsidRPr="00810B8B">
              <w:rPr>
                <w:rFonts w:ascii="Arial" w:eastAsiaTheme="minorEastAsia" w:hAnsi="Arial" w:cs="Arial"/>
              </w:rPr>
              <w:t>, Sieci kablowe służące do rozprowadzania sygnałów: telewizyjnych, radiofonicznych i usług interaktywnych – Część 2: Kompatybilność elektromagnetyczna urządzeń</w:t>
            </w:r>
          </w:p>
          <w:p w:rsidR="00DB3A3C" w:rsidRPr="00810B8B" w:rsidRDefault="00DB3A3C" w:rsidP="001E61BB">
            <w:pPr>
              <w:spacing w:beforeLines="60"/>
              <w:rPr>
                <w:rFonts w:ascii="Arial" w:eastAsiaTheme="minorEastAsia" w:hAnsi="Arial" w:cs="Arial"/>
                <w:caps/>
              </w:rPr>
            </w:pPr>
            <w:r w:rsidRPr="00810B8B">
              <w:rPr>
                <w:rFonts w:ascii="Arial" w:eastAsiaTheme="minorEastAsia" w:hAnsi="Arial" w:cs="Arial"/>
              </w:rPr>
              <w:t xml:space="preserve">Zastąpiona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przez</w:t>
            </w:r>
            <w:r w:rsidRPr="00810B8B">
              <w:rPr>
                <w:rFonts w:ascii="Arial" w:eastAsiaTheme="minorEastAsia" w:hAnsi="Arial" w:cs="Arial"/>
                <w:caps/>
              </w:rPr>
              <w:t xml:space="preserve"> pn-en 50083-2:2012 (U)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50147-1:01.2000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(1996)</w:t>
            </w:r>
            <w:r w:rsidRPr="00810B8B">
              <w:rPr>
                <w:rFonts w:ascii="Arial" w:eastAsiaTheme="minorEastAsia" w:hAnsi="Arial" w:cs="Arial"/>
              </w:rPr>
              <w:t xml:space="preserve">, Kompatybilność elektromagnetyczna (EMC) – </w:t>
            </w:r>
            <w:r w:rsidRPr="00810B8B">
              <w:rPr>
                <w:rFonts w:ascii="Arial" w:eastAsiaTheme="minorEastAsia" w:hAnsi="Arial" w:cs="Arial"/>
              </w:rPr>
              <w:br/>
              <w:t>Komory bezodbiciowe – Pomiar tłumienności ekranu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50293:05.2002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(EMC) – Systemy sygnalizacji ruchu drogowego – Norma wyrobu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50357:04.2004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(2001)</w:t>
            </w:r>
            <w:r w:rsidRPr="00810B8B">
              <w:rPr>
                <w:rFonts w:ascii="Arial" w:eastAsiaTheme="minorEastAsia" w:hAnsi="Arial" w:cs="Arial"/>
              </w:rPr>
              <w:t>, Ocena ekspozycji ludzi w polach elektromagnetycznych urządzeń wykorzystywanych do elektronicznej ochrony artykułów (EAS), identyfikacji drogą radiową (RFID) i tym podobnych zastosowań</w:t>
            </w:r>
          </w:p>
          <w:p w:rsidR="00DB3A3C" w:rsidRPr="00810B8B" w:rsidRDefault="00DB3A3C">
            <w:pPr>
              <w:spacing w:before="60"/>
              <w:rPr>
                <w:rFonts w:ascii="Arial" w:eastAsiaTheme="minorEastAsia" w:hAnsi="Arial" w:cs="Arial"/>
                <w:caps/>
              </w:rPr>
            </w:pPr>
            <w:r w:rsidRPr="00810B8B">
              <w:rPr>
                <w:rFonts w:ascii="Arial" w:eastAsiaTheme="minorEastAsia" w:hAnsi="Arial" w:cs="Arial"/>
              </w:rPr>
              <w:t xml:space="preserve">Zastąpiona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przez</w:t>
            </w:r>
            <w:r w:rsidRPr="00810B8B">
              <w:rPr>
                <w:rFonts w:ascii="Arial" w:eastAsiaTheme="minorEastAsia" w:hAnsi="Arial" w:cs="Arial"/>
                <w:caps/>
              </w:rPr>
              <w:t xml:space="preserve"> pn-en 62369-1:2010 (U)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50360:01.2004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(2001)</w:t>
            </w:r>
            <w:r w:rsidRPr="00810B8B">
              <w:rPr>
                <w:rFonts w:ascii="Arial" w:eastAsiaTheme="minorEastAsia" w:hAnsi="Arial" w:cs="Arial"/>
              </w:rPr>
              <w:t>, Określanie zgodności telefonów ruchomych z ograniczeniami podstawowymi dotyczącymi ekspozycji ludzi na pola elektromagnetyczne (300 MHz – 3 GHz).</w:t>
            </w:r>
            <w:r w:rsidRPr="00810B8B">
              <w:rPr>
                <w:rFonts w:ascii="Arial" w:eastAsiaTheme="minorEastAsia" w:hAnsi="Arial" w:cs="Arial"/>
              </w:rPr>
              <w:br/>
              <w:t>Norma wyrobu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 xml:space="preserve">PN-EN 50360:2004/AC:2006 (2006) 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Określanie zgodności telefonów ruchomych z ograniczeniami podstawowymi dotyczącymi ekspozycji ludzi na pola elektromagnetyczne (300 MHz - 3 GHz) </w:t>
            </w:r>
            <w:r w:rsidRPr="00810B8B">
              <w:rPr>
                <w:rFonts w:ascii="Arial" w:eastAsiaTheme="minorEastAsia" w:hAnsi="Arial" w:cs="Arial"/>
              </w:rPr>
              <w:t>–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Norma wyrobu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50361:12.2003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(2001)</w:t>
            </w:r>
            <w:r w:rsidRPr="00810B8B">
              <w:rPr>
                <w:rFonts w:ascii="Arial" w:eastAsiaTheme="minorEastAsia" w:hAnsi="Arial" w:cs="Arial"/>
              </w:rPr>
              <w:t>, Pomiary swoistego tempa pochłaniania energii związanego z ekspozycją ludzi na pola elektromagnetyczne o częstotliwościach od 300 MHz do 3 GHz, wytwarzane przez telefony ruchome. Norma podstawowa</w:t>
            </w:r>
          </w:p>
          <w:p w:rsidR="00DB3A3C" w:rsidRPr="00810B8B" w:rsidRDefault="00DB3A3C">
            <w:pPr>
              <w:spacing w:before="60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Zastąpiona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przez</w:t>
            </w:r>
            <w:r w:rsidRPr="00810B8B">
              <w:rPr>
                <w:rFonts w:ascii="Arial" w:eastAsiaTheme="minorEastAsia" w:hAnsi="Arial" w:cs="Arial"/>
              </w:rPr>
              <w:t xml:space="preserve"> PN-EN 62209-1:2010 (U)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5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9072"/>
      </w:tblGrid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Fonts w:ascii="Arial" w:eastAsiaTheme="minorEastAsia" w:hAnsi="Arial" w:cs="Arial"/>
                <w:color w:val="000000"/>
              </w:rPr>
              <w:t xml:space="preserve">PN-EN 50364:04.2012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(2010)</w:t>
            </w:r>
            <w:r w:rsidRPr="00810B8B">
              <w:rPr>
                <w:rFonts w:ascii="Arial" w:eastAsiaTheme="minorEastAsia" w:hAnsi="Arial" w:cs="Arial"/>
                <w:color w:val="000000"/>
              </w:rPr>
              <w:t>, Ograniczenie ekspozycji ludzi w polach elektromagnetycznych urządzeń pracujących w zakresie częstotliwości od 0 Hz do 300 GHz, wykorzystywanych do elektronicznego nadzoru artykułów (EAS), identyfikacji z wykorzystaniem fal radiowych (RFID) i podobnych zastosowań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RTTE, LVD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PN-EN 50370-1:2007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(2005), 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Kompatybilność elektromagnetyczna (EMC) – Norma grupy wyrobów dotycząca obrabiarek – Część 1: Emisja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50370-2:03.2005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(2003),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Norma grupy wyrobów – obrabiarki – Część 2: Odporność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50371:12.2004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(2002),</w:t>
            </w:r>
            <w:r w:rsidRPr="00810B8B">
              <w:rPr>
                <w:rFonts w:ascii="Arial" w:eastAsiaTheme="minorEastAsia" w:hAnsi="Arial" w:cs="Arial"/>
              </w:rPr>
              <w:t xml:space="preserve"> Zgodność elektronicznych i elektrycznych urządzeń małej mocy z ograniczeniami podstawowymi dotyczącymi ekspozycji ludzi w polach elektromagnetycznych o częstotliwościach od 10MHz do 300 GHz – Ludność – Norma ogólna</w:t>
            </w:r>
          </w:p>
          <w:p w:rsidR="00DB3A3C" w:rsidRPr="00810B8B" w:rsidRDefault="00DB3A3C">
            <w:pPr>
              <w:spacing w:before="12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50383:05.2005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(2002), </w:t>
            </w:r>
            <w:r w:rsidRPr="00810B8B">
              <w:rPr>
                <w:rFonts w:ascii="Arial" w:eastAsiaTheme="minorEastAsia" w:hAnsi="Arial" w:cs="Arial"/>
              </w:rPr>
              <w:t>Obliczenia i pomiary intensywności pola elektromagnetycznego i swoistego tempa pochłaniania energii związanego z ekspozycją ludzi w polach elektromagnetycznych o częstotliwościach od 110 MHz do 40 GHz, wytwarzanych przez radiowe stacje bazowe i stałe stacje końcowe bezprzewodowych systemów telekomunikacyjnych. Norma podstawowa</w:t>
            </w:r>
          </w:p>
          <w:p w:rsidR="00DB3A3C" w:rsidRPr="00810B8B" w:rsidRDefault="00DB3A3C">
            <w:pPr>
              <w:spacing w:before="120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Zastąpiona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przez</w:t>
            </w:r>
            <w:r w:rsidRPr="00810B8B">
              <w:rPr>
                <w:rFonts w:ascii="Arial" w:eastAsiaTheme="minorEastAsia" w:hAnsi="Arial" w:cs="Arial"/>
              </w:rPr>
              <w:t xml:space="preserve"> PN-EN 50383:2011 (U)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50384:12.2004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(2002),</w:t>
            </w:r>
            <w:r w:rsidRPr="00810B8B">
              <w:rPr>
                <w:rFonts w:ascii="Arial" w:eastAsiaTheme="minorEastAsia" w:hAnsi="Arial" w:cs="Arial"/>
              </w:rPr>
              <w:t xml:space="preserve"> Norma grupy wyrobów dla wykazania zgodności radiowych stacji bazowych i stacjonarnych stacji końcowych systemów bezprzewodowej telekomunikacji z ograniczeniami podstawowymi lub poziomami odniesienia dotyczącymi ekspozycji ludzi w polach elektromagnetycznych częstotliwości radiowych (110 MHz – 40 MHz). Ekspozycja zawodowa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50385:10.2004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(2002),</w:t>
            </w:r>
            <w:r w:rsidRPr="00810B8B">
              <w:rPr>
                <w:rFonts w:ascii="Arial" w:eastAsiaTheme="minorEastAsia" w:hAnsi="Arial" w:cs="Arial"/>
              </w:rPr>
              <w:t xml:space="preserve"> Norma grupy wyrobów dla wykazania zgodności radiowych stacji bazowych i stacjonarnych stacji końcowych systemów bezprzewodowej telekomunikacji z ograniczeniami podstawowymi lub poziomami odniesienia dotyczącymi ekspozycji ludzi w polach elektromagnetycznych częstotliwości radiowych (110 MHz – 40 MHz). Ekspozycja ludności</w:t>
            </w:r>
          </w:p>
          <w:p w:rsidR="00DB3A3C" w:rsidRPr="00810B8B" w:rsidRDefault="00DB3A3C">
            <w:pPr>
              <w:spacing w:before="12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 xml:space="preserve">PN-EN 50401:02.2008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</w:rPr>
              <w:t>(2006)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Norma wyrobu do oceny zgodności wprowadzanych do eksploatacji stacjonarnych urządzeń nadawczych (od 110 MHz do 40 GHz) przeznaczonych do stosowania w sieciach telekomunikacyjnych z ograniczeniami podstawowymi lub poziomami odniesienia dotyczącymi ekspozycji ludności na pola elektromagnetyczne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pStyle w:val="Tekstpodstawowy"/>
              <w:tabs>
                <w:tab w:val="left" w:pos="397"/>
              </w:tabs>
              <w:spacing w:before="0"/>
              <w:rPr>
                <w:rFonts w:eastAsiaTheme="minorEastAsia"/>
                <w:sz w:val="20"/>
                <w:szCs w:val="20"/>
              </w:rPr>
            </w:pPr>
            <w:r w:rsidRPr="00810B8B">
              <w:rPr>
                <w:rFonts w:eastAsiaTheme="minorEastAsia"/>
                <w:sz w:val="20"/>
                <w:szCs w:val="20"/>
              </w:rPr>
              <w:t>PN-EN 50413:01:2013 (2008), Norma podstawowa dotycząca metody pomiaru i obliczeń ekspozycji ludzi w polach elektrycznych, magnetycznych i elektromagnetycznych (0 Hz – 300 GHz)</w:t>
            </w:r>
          </w:p>
          <w:p w:rsidR="00DB3A3C" w:rsidRPr="00810B8B" w:rsidRDefault="00DB3A3C">
            <w:pPr>
              <w:rPr>
                <w:rStyle w:val="biggertext2"/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PN-EN 50498:08.2011 </w:t>
            </w:r>
            <w:r w:rsidRPr="00810B8B">
              <w:rPr>
                <w:rStyle w:val="biggertext2"/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</w:rPr>
              <w:t>(2010),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color w:val="000000"/>
              </w:rPr>
              <w:t>Kompatybilność elektromagnetyczna (EMC) – Norma rodziny wyrobów dla samochodowych urządzeń elektronicznych przeznaczonych do obrotu detalicznego</w:t>
            </w:r>
          </w:p>
          <w:p w:rsidR="00DB3A3C" w:rsidRPr="00810B8B" w:rsidRDefault="00DB3A3C">
            <w:pPr>
              <w:spacing w:before="12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55011:05.2012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(2010),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color w:val="000000"/>
              </w:rPr>
              <w:t>Urządzenia przemysłowe, naukowe i medyczne – Charakterystyki zaburzeń o częstotliwości radiowej – Poziomy dopuszczalne i metody pomiaru</w:t>
            </w:r>
          </w:p>
          <w:p w:rsidR="00DB3A3C" w:rsidRPr="00810B8B" w:rsidRDefault="00DB3A3C">
            <w:pPr>
              <w:spacing w:before="12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55012:05.2012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(2007),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color w:val="000000"/>
              </w:rPr>
              <w:t>Pojazdy samochodowe, łodzie i urządzenia napędzane silnikami spalania wewnętrznego – Charakterystyki zaburzeń radioelektrycznych – Poziomy dopuszczalne i metody pomiaru w odniesieniu do ochrony odbiorników radiowych znajdujących się w pobliżu</w:t>
            </w:r>
          </w:p>
          <w:p w:rsidR="00DB3A3C" w:rsidRPr="00810B8B" w:rsidRDefault="00DB3A3C">
            <w:pPr>
              <w:spacing w:before="12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5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9072"/>
      </w:tblGrid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55013:02.2004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(2001)</w:t>
            </w:r>
            <w:r w:rsidRPr="00810B8B">
              <w:rPr>
                <w:rFonts w:ascii="Arial" w:eastAsiaTheme="minorEastAsia" w:hAnsi="Arial" w:cs="Arial"/>
              </w:rPr>
              <w:t>, Kompatybilność elektromagnetyczna (EMC) – Odbiorniki radiowe i telewizyjne i ich urządzenia dodatkowe – Charakterystyki zaburzeń radioelektrycznych – Poziomy dopuszczalne i metody pomiarów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55013:2004/Ap1:04.2004, Kompatybilność elektromagnetyczna (EMC) – Odbiorniki radiowe i telewizyjne i ich urządzenia dodatkowe – Charakterystyki zaburzeń radioelektrycznych – Poziomy dopuszczalne i metody pomiarów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55013:2004/A1:02.2005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(2003)</w:t>
            </w:r>
            <w:r w:rsidRPr="00810B8B">
              <w:rPr>
                <w:rFonts w:ascii="Arial" w:eastAsiaTheme="minorEastAsia" w:hAnsi="Arial" w:cs="Arial"/>
              </w:rPr>
              <w:t>, Kompatybilność elektromagnetyczna (EMC) – Odbiorniki radiowe i telewizyjne i ich urządzenia dodatkowe – Charakterystyki zaburzeń radioelektrycznych – Poziomy dopuszczalne i metody pomiarów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55013:2004/A2:08.2008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(2006) </w:t>
            </w:r>
            <w:r w:rsidRPr="00810B8B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Kompatybilność elektromagnetyczna (EMC) – Odbiorniki radiofoniczne i telewizyjne i ich urządzenia dodatkowe – Charakterystyki zaburzeń radioelektrycznych – Dopuszczalne poziomy i metody pomiarów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55014-1:09.2012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(2006)</w:t>
            </w:r>
            <w:r w:rsidRPr="00810B8B">
              <w:rPr>
                <w:rFonts w:ascii="Arial" w:eastAsiaTheme="minorEastAsia" w:hAnsi="Arial" w:cs="Arial"/>
              </w:rPr>
              <w:t>, Kompatybilność elektromagnetyczna (EMC) – Wymagania dotyczące przyrządów powszechnego użytku, narzędzi elektrycznych i podobnych urządzeń – Część1: Emisja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55014-2:07.1999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(1997),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Wymagania dotyczące przyrządów powszechnego użytku, narzędzi elektrycznych i podobnych urządzeń – Odporność na zaburzenia elektromagnetyczne. Norma grupy wyrobów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55014-2:1999/A1:07.2004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(2001),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Wymagania dotyczące przyrządów powszechnego użytku, narzędzi elektrycznych i podobnych urządzeń – Odporność na zaburzenia elektromagnetyczne. Norma grupy wyrobów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55015:01.2011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(2006),</w:t>
            </w:r>
            <w:r w:rsidRPr="00810B8B">
              <w:rPr>
                <w:rFonts w:ascii="Arial" w:eastAsiaTheme="minorEastAsia" w:hAnsi="Arial" w:cs="Arial"/>
              </w:rPr>
              <w:t xml:space="preserve"> Poziomy dopuszczalne i metody pomiarów zaburzeń radioelektrycznych wytwarzanych przez elektryczne urządzenia oświetleniowe i urządzenia podobne</w:t>
            </w:r>
          </w:p>
          <w:p w:rsidR="00DB3A3C" w:rsidRPr="00810B8B" w:rsidRDefault="00DB3A3C">
            <w:pPr>
              <w:spacing w:before="12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55015:01.2011/A1:01.2011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(2007),</w:t>
            </w:r>
            <w:r w:rsidRPr="00810B8B">
              <w:rPr>
                <w:rFonts w:ascii="Arial" w:eastAsiaTheme="minorEastAsia" w:hAnsi="Arial" w:cs="Arial"/>
              </w:rPr>
              <w:t xml:space="preserve"> Poziomy dopuszczalne i metody pomiarów zaburzeń radioelektrycznych wytwarzanych przez elektryczne urządzenia oświetleniowe i urządzenia podobne</w:t>
            </w:r>
          </w:p>
          <w:p w:rsidR="00DB3A3C" w:rsidRPr="00810B8B" w:rsidRDefault="00DB3A3C">
            <w:pPr>
              <w:spacing w:before="12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55015:01.2011/A2:01.2011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(2009),</w:t>
            </w:r>
            <w:r w:rsidRPr="00810B8B">
              <w:rPr>
                <w:rFonts w:ascii="Arial" w:eastAsiaTheme="minorEastAsia" w:hAnsi="Arial" w:cs="Arial"/>
              </w:rPr>
              <w:t xml:space="preserve"> Poziomy dopuszczalne i metody pomiarów zaburzeń radioelektrycznych wytwarzanych przez elektryczne urządzenia oświetleniowe i urządzenia podobne</w:t>
            </w:r>
          </w:p>
          <w:p w:rsidR="00DB3A3C" w:rsidRPr="00810B8B" w:rsidRDefault="00DB3A3C">
            <w:pPr>
              <w:spacing w:before="12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ind w:right="62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PN-EN 55015:2011/Ap1:04.2011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Poziomy dopuszczalne i metody pomiarów zaburzeń radioelektrycznych wytwarzanych przez elektryczne urządzenia oświetleniowe i urządzenia podobne</w:t>
            </w:r>
          </w:p>
          <w:p w:rsidR="00DB3A3C" w:rsidRPr="00810B8B" w:rsidRDefault="00DB3A3C">
            <w:pPr>
              <w:ind w:right="62"/>
              <w:rPr>
                <w:rStyle w:val="biggertext"/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PN-EN 55016-1-1:04.2007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  <w:color w:val="000000"/>
              </w:rPr>
              <w:t>(2004),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Wymagania dotyczące aparatury pomiarowej i metod pomiaru zaburzeń radioelektrycznych oraz odporności na zaburzenia – Część 1-1: Aparatura do pomiaru zaburzeń radioelektrycznych i do badań odporności – Aparatura pomiarowa</w:t>
            </w:r>
          </w:p>
          <w:p w:rsidR="00DB3A3C" w:rsidRPr="00810B8B" w:rsidRDefault="00DB3A3C">
            <w:pPr>
              <w:spacing w:before="120"/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55016-1-1:2010 (U)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55016-1-2:03.2008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(2004)</w:t>
            </w:r>
            <w:r w:rsidRPr="00810B8B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Wymagania dotyczące aparatury pomiarowej i metod pomiaru zaburzeń radioelektrycznych oraz odporności na zaburzenia – Część 1-2: Aparatura do pomiaru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zaburzeń radioelektrycznych i do badań odporności – Wyposażenie pomocnicze – Zaburzenia przewodzone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5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9072"/>
      </w:tblGrid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3"/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PN-EN 55016-1-4:03.2010 </w:t>
            </w:r>
            <w:r w:rsidRPr="00810B8B">
              <w:rPr>
                <w:rStyle w:val="biggertext3"/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</w:rPr>
              <w:t>(2007),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Wymagania dotyczące aparatury pomiarowej i metod pomiaru zaburzeń radioelektrycznych oraz odporności na zaburzenia -- Część 1-4: Aparatura do pomiaru zaburzeń radioelektrycznych i do badań odporności – Anteny i poligony pomiarowe do pomiaru zaburzeń promieniowanych </w:t>
            </w:r>
          </w:p>
          <w:p w:rsidR="00DB3A3C" w:rsidRPr="00810B8B" w:rsidRDefault="00DB3A3C">
            <w:pPr>
              <w:spacing w:before="80"/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55016-1-4:2010 (U)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eastAsiaTheme="minorEastAsia" w:cstheme="minorBidi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 xml:space="preserve">PN-EN 55016-2-2:09.2008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</w:rPr>
              <w:t>(2004)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Wymagania dotyczące aparatury pomiarowej i metod pomiaru zaburzeń radioelektrycznych oraz badania odporności na zaburzenia – Część 2-2: Metody pomiaru zaburzeń i badania odporności – Pomiary mocy zaburzeń</w:t>
            </w:r>
            <w:r w:rsidRPr="00810B8B">
              <w:rPr>
                <w:rFonts w:eastAsiaTheme="minorEastAsia" w:cstheme="minorBidi"/>
              </w:rPr>
              <w:t xml:space="preserve"> </w:t>
            </w:r>
          </w:p>
          <w:p w:rsidR="00DB3A3C" w:rsidRPr="00810B8B" w:rsidRDefault="00DB3A3C">
            <w:pPr>
              <w:spacing w:before="80"/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55016-2-2:2011 (U)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  <w:sz w:val="13"/>
                <w:szCs w:val="13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PN-EN 55016-2-3:11.2007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 xml:space="preserve">(2006)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Wymagania dotyczące aparatury pomiarowej i metod pomiaru zaburzeń radioelektrycznych oraz badania odporności na zaburzenia – Część 2-3: Metody pomiaru zaburzeń i badania odporności – Pomiary zaburzeń promieniowanych</w:t>
            </w:r>
            <w:r w:rsidRPr="00810B8B">
              <w:rPr>
                <w:rFonts w:ascii="Arial" w:eastAsiaTheme="minorEastAsia" w:hAnsi="Arial" w:cs="Arial"/>
                <w:color w:val="000000"/>
                <w:sz w:val="13"/>
                <w:szCs w:val="13"/>
              </w:rPr>
              <w:t xml:space="preserve"> </w:t>
            </w:r>
          </w:p>
          <w:p w:rsidR="00DB3A3C" w:rsidRPr="00810B8B" w:rsidRDefault="00DB3A3C">
            <w:pPr>
              <w:spacing w:before="120"/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55016-2-3:2010 (U) + PN-EN 55016-2-3:2010/A1:2010 (U)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Style w:val="biggertext"/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55016-4-2:07.2006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(2004)</w:t>
            </w:r>
            <w:r w:rsidRPr="00810B8B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Wymagania dotyczące urządzeń i metod pomiarów zaburzeń radioelektrycznych oraz odporności na zaburzenia radioelektryczne – Część 4-2: Niepewność, statystyka i modelowanie poziomów dopuszczalnych – Niepewność w pomiarach EMC</w:t>
            </w:r>
          </w:p>
          <w:p w:rsidR="00DB3A3C" w:rsidRPr="00810B8B" w:rsidRDefault="00DB3A3C">
            <w:pPr>
              <w:spacing w:before="120"/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55016-4-2:2011 (U)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Fonts w:ascii="Arial" w:eastAsiaTheme="minorEastAsia" w:hAnsi="Arial" w:cs="Arial"/>
                <w:color w:val="000000"/>
              </w:rPr>
              <w:t xml:space="preserve">PN-EN 55020:10.2012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(2007),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Odbiorniki radiofoniczne i telewizyjne i ich urządzenia dodatkowe – Charakterystyki odporności – Poziomy wymagane i metody pomiarów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3"/>
                <w:rFonts w:ascii="Arial" w:eastAsiaTheme="minorEastAsia" w:hAnsi="Arial" w:cs="Arial"/>
                <w:color w:val="000000"/>
                <w:sz w:val="20"/>
                <w:szCs w:val="20"/>
              </w:rPr>
              <w:t>PN-EN 55020:2012/IS1:11.2012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(2009),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Odbiorniki radiofoniczne i telewizyjne i ich urządzenia dodatkowe – Charakterystyki odporności – Poziomy wymagane i metody pomiarów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3"/>
                <w:rFonts w:ascii="Arial" w:eastAsiaTheme="minorEastAsia" w:hAnsi="Arial" w:cs="Arial"/>
                <w:color w:val="000000"/>
                <w:sz w:val="20"/>
                <w:szCs w:val="20"/>
              </w:rPr>
              <w:t>PN-EN 55020:2012/IS2:11.2012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(2010),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Odbiorniki radiofoniczne i telewizyjne i ich urządzenia dodatkowe – Charakterystyki odporności – Poziomy wymagane i metody pomiarów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55022:10.2000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(1998),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Urządzenia informatyczne – Charakterystyki zaburzeń radioelektrycznych – Poziomy dopuszczalne i metody pomiaru</w:t>
            </w:r>
          </w:p>
          <w:p w:rsidR="00DB3A3C" w:rsidRPr="00810B8B" w:rsidRDefault="00DB3A3C">
            <w:pPr>
              <w:spacing w:before="80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Zastąpiona przez PN-EN 55022:2006 (U) + PN-EN 55022:2006/A1:2008 (U)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spacing w:before="8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55024:09.2000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(1998),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Urządzenia informatyczne – Charakterystyki odporności – Metody pomiaru i poziomy dopuszczalne</w:t>
            </w:r>
          </w:p>
          <w:p w:rsidR="00DB3A3C" w:rsidRPr="00810B8B" w:rsidRDefault="00DB3A3C">
            <w:pPr>
              <w:spacing w:before="6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55024:2000/A1:10:2004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(2001),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Urządzenia informatyczne – Charakterystyki odporności – Metody pomiaru i poziomy dopuszczalne</w:t>
            </w:r>
          </w:p>
          <w:p w:rsidR="00DB3A3C" w:rsidRPr="00810B8B" w:rsidRDefault="00DB3A3C">
            <w:pPr>
              <w:spacing w:before="6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55024:2000/A2:10:2004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(2003),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Urządzenia informatyczne – Charakterystyki odporności – Metody pomiaru i poziomy dopuszczalne</w:t>
            </w:r>
          </w:p>
          <w:p w:rsidR="00DB3A3C" w:rsidRPr="00810B8B" w:rsidRDefault="00DB3A3C">
            <w:pPr>
              <w:spacing w:before="6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55024:2000/Ap1:10:2009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Urządzenia informatyczne – Charakterystyki odporności – Metody pomiaru i poziomy dopuszczalne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55025:03.2007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(2003,)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Charakterystyki zaburzeń radioelektrycznych w odniesieniu do ochrony odbiorników wykorzystywanych w pojazdach, łodziach motorowych i maszynach – Poziomy dopuszczalne i metody pomiarów</w:t>
            </w:r>
          </w:p>
          <w:p w:rsidR="00DB3A3C" w:rsidRPr="00810B8B" w:rsidRDefault="00DB3A3C">
            <w:pPr>
              <w:spacing w:before="60"/>
              <w:rPr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55025:2009 (U)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spacing w:after="60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Fonts w:ascii="Arial" w:eastAsiaTheme="minorEastAsia" w:hAnsi="Arial" w:cs="Arial"/>
                <w:color w:val="000000"/>
              </w:rPr>
              <w:t xml:space="preserve">PN-EN 55103-1:03.2012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(2009)</w:t>
            </w:r>
            <w:r w:rsidRPr="00810B8B">
              <w:rPr>
                <w:rFonts w:ascii="Arial" w:eastAsiaTheme="minorEastAsia" w:hAnsi="Arial" w:cs="Arial"/>
                <w:color w:val="000000"/>
              </w:rPr>
              <w:t>, Kompatybilność elektromagnetyczna – Profesjonalne urządzenia akustyczne, wizyjne, audiowizualne i sterowania oświetleniem estradowym – Część 1: Emisje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5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9072"/>
      </w:tblGrid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Fonts w:ascii="Arial" w:eastAsiaTheme="minorEastAsia" w:hAnsi="Arial" w:cs="Arial"/>
                <w:color w:val="000000"/>
              </w:rPr>
              <w:t>PN-EN 55103-2:04.2012</w:t>
            </w:r>
            <w:r w:rsidRPr="00810B8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 xml:space="preserve">(2009), </w:t>
            </w:r>
            <w:r w:rsidRPr="00810B8B">
              <w:rPr>
                <w:rFonts w:ascii="Arial" w:eastAsiaTheme="minorEastAsia" w:hAnsi="Arial" w:cs="Arial"/>
                <w:color w:val="000000"/>
              </w:rPr>
              <w:t>Kompatybilność elektromagnetyczna – Profesjonalne urządzenia akustyczne, wizyjne, audiowizualne i sterowania oświetleniem estradowym – Część 2: Odporność</w:t>
            </w:r>
          </w:p>
          <w:p w:rsidR="00DB3A3C" w:rsidRPr="00810B8B" w:rsidRDefault="00DB3A3C">
            <w:pPr>
              <w:spacing w:before="6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PN-CISPR 16-1:12.1997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(1993),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Wymagania dotyczące urządzeń i metod pomiarów zaburzeń radioelektrycznych i odporności na zaburzenia radioelektryczne – Urządzenia do pomiarów zaburzeń radioelektrycznych i odporności na zaburzenia radioelektryczne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PN-CISPR 16-2:10.1999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(1996),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Wymagania dotyczące urządzeń i metod pomiarów zaburzeń radioelektrycznych i odporności na zaburzenia radioelektryczne. Część 2 – Metody pomiarów zaburzeń radioelektrycznych i odporności na zaburzenia radioelektryczne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61000-2-4:10.1997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(1994),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– Środowisko – Poziomy kompatybilności dotyczące zaburzeń przewodzonych małej częstotliwości w sieciach zakładów przemysłowych</w:t>
            </w:r>
          </w:p>
          <w:p w:rsidR="00DB3A3C" w:rsidRPr="00810B8B" w:rsidRDefault="00DB3A3C">
            <w:pPr>
              <w:spacing w:before="60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Zastąpiona przez PN-EN 61000-2-4:2003 (U)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61000-2-9:01.2002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(1996),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2-9. Środowisko – Opis środowiska HEMP – zaburzenia promieniowane.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Podstawowa publikacja EMC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61000-2-10:07.2004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(2002),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2-10. Środowisko – Opis środowiska HEMP – zaburzenia przewodzone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61000-3-2:08.2007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(2006),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Kompatybilność elektromagnetyczna (EMC) – 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Część 3-2: Poziomy dopuszczalne – Poziomy dopuszczalne emisji harmonicznych prądu (fazowy prąd zasilający odbiornika </w:t>
            </w:r>
            <w:r w:rsidRPr="00810B8B">
              <w:rPr>
                <w:rFonts w:eastAsiaTheme="minorEastAsia" w:cstheme="minorBidi"/>
                <w:b/>
                <w:bCs/>
                <w:noProof/>
                <w:lang w:val="en-AU"/>
              </w:rPr>
              <w:sym w:font="Symbol" w:char="F0A3"/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16 A)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PN-EN 61000-3-2:2007/A1:12.2010 </w:t>
            </w:r>
            <w:r w:rsidRPr="00810B8B">
              <w:rPr>
                <w:rStyle w:val="biggertext2"/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</w:rPr>
              <w:t>(2009)</w:t>
            </w: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, </w:t>
            </w:r>
            <w:r w:rsidRPr="00810B8B">
              <w:rPr>
                <w:rFonts w:ascii="Arial" w:eastAsiaTheme="minorEastAsia" w:hAnsi="Arial" w:cs="Arial"/>
                <w:color w:val="000000"/>
              </w:rPr>
              <w:t>Kompatybilność elektromagnetyczna (EMC) – Część 3-2: Poziomy dopuszczalne – Poziomy dopuszczalne emisji harmonicznych prądu (fazowy prąd zasilający odbiornika ≤ 16 A)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PN-EN 61000-3-2:2007/A2:12.2010 </w:t>
            </w:r>
            <w:r w:rsidRPr="00810B8B">
              <w:rPr>
                <w:rStyle w:val="biggertext2"/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</w:rPr>
              <w:t>(2009)</w:t>
            </w: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, </w:t>
            </w:r>
            <w:r w:rsidRPr="00810B8B">
              <w:rPr>
                <w:rFonts w:ascii="Arial" w:eastAsiaTheme="minorEastAsia" w:hAnsi="Arial" w:cs="Arial"/>
                <w:color w:val="000000"/>
              </w:rPr>
              <w:t>Kompatybilność elektromagnetyczna (EMC) – Część 3-2: Poziomy dopuszczalne – Poziomy dopuszczalne emisji harmonicznych prądu (fazowy prąd zasilający odbiornika ≤ 16 A)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PN-EN 61000-3-3:01.2011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 xml:space="preserve">(2008), </w:t>
            </w:r>
            <w:r w:rsidRPr="00810B8B">
              <w:rPr>
                <w:rFonts w:ascii="Arial" w:eastAsiaTheme="minorEastAsia" w:hAnsi="Arial" w:cs="Arial"/>
                <w:color w:val="000000"/>
              </w:rPr>
              <w:t>Kompatybilność elektromagnetyczna (EMC) – Część 3-3: Poziomy dopuszczalne – Ograniczanie zmian napięcia, wahań napięcia i migotania światła w publicznych sieciach zasilających niskiego napięcia, powodowanych przez odbiorniki o fazowym prądzie znamionowym ≤ 16 A przyłączone bezwarunkowo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61000-3-11:02.2004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(2000),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3-11: Dopuszczalne poziomy – Ograniczanie zmian napięcia, wahań napięcia i migotania światła w publicznych sieciach niskiego napięcia – Urządzenia o prądzie znamionowym ≤ 75 A, podlegające przyłączeniu warunkowemu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PN-EN 61000-3-12:07.2007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(2005),</w:t>
            </w:r>
            <w:r w:rsidRPr="00810B8B">
              <w:rPr>
                <w:rFonts w:ascii="Arial" w:eastAsiaTheme="minorEastAsia" w:hAnsi="Arial" w:cs="Arial"/>
                <w:color w:val="000000"/>
              </w:rPr>
              <w:t> 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Kompatybilność elektromagnetyczna (EMC) – 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Część 3-12: Poziomy dopuszczalne – Poziomy dopuszczalne emisji harmonicznych prądu dla odbiorników o znamionowym prądzie fazowym &gt; 16 A i 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≤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75 A przyłączonych do publicznej sieci zasilającej niskiego napięcia</w:t>
            </w:r>
          </w:p>
          <w:p w:rsidR="00DB3A3C" w:rsidRPr="00810B8B" w:rsidRDefault="00DB3A3C">
            <w:pPr>
              <w:spacing w:before="80"/>
              <w:jc w:val="both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Zastąpiona przez 61000-3-12:2012 (U)                               Zharmonizowana z EMC i RTTE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rFonts w:ascii="Arial" w:eastAsiaTheme="minorEastAsia" w:hAnsi="Arial" w:cs="Arial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PN-EN 61000-4-2:06.2011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(2009),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Kompatybilność elektromagnetyczna (EMC) – Część 4-2: Metody badań i pomiarów – Badanie odporności na wyładowania elektrostatyczne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5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9072"/>
      </w:tblGrid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61000-4-3:12.2007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(2006),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4-3: Metody badań i pomiarów – Badanie odporności na promieniowane pole elektromagnetyczne o częstotliwości radiowej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61000-4-4:06.2010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(2004),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Metody badań i pomiarów – Badanie odporności na serie szybkich elektrycznych stanów przejściowych.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61000-4-5:05.2010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(2006),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Metody badań i pomiarów – Badanie odporności na udary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 xml:space="preserve">PN-EN 61000-4-6:08.2008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</w:rPr>
              <w:t>(2007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) Kompatybilność elektromagnetyczna (EMC) – Część 4-6: Metody badań i pomiarów – Badanie odporności na zaburzenia przewodzone, indukowane przez pola o częstotliwości radiowej</w:t>
            </w:r>
          </w:p>
          <w:p w:rsidR="00DB3A3C" w:rsidRPr="00810B8B" w:rsidRDefault="00DB3A3C">
            <w:pPr>
              <w:spacing w:before="60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Zastąpiona przez 61000-4-6:2009 (U)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61000-4-7:01.2007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(2002), </w:t>
            </w:r>
            <w:r w:rsidRPr="00810B8B">
              <w:rPr>
                <w:rFonts w:ascii="Arial" w:eastAsiaTheme="minorEastAsia" w:hAnsi="Arial" w:cs="Arial"/>
              </w:rPr>
              <w:t>Kompatybilność elektromagnetyczna (EMC) – Część 4-7: Metody badań i pomiarów – Ogólny przewodnik dotyczący pomiarów harmonicznych i interharmonicznych oraz przyrządów pomiarowych, dla sieci zasilających i przyłączonych do nich urządzeń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PN-EN 61000-4-7:2007/A1:01.2011</w:t>
            </w:r>
            <w:r w:rsidRPr="00810B8B">
              <w:rPr>
                <w:rStyle w:val="biggertext2"/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</w:rPr>
              <w:t>(2009),</w:t>
            </w: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color w:val="000000"/>
              </w:rPr>
              <w:t>Kompatybilność elektromagnetyczna (EMC) – Część 4-7: Metody badań i pomiarów – Ogólny przewodnik dotyczący pomiarów harmonicznych i interharmonicznych oraz przyrządów pomiarowych, dla sieci zasilających i przyłączonych do nich urządzeń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61000-4-8:10.1998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(1993), </w:t>
            </w:r>
            <w:r w:rsidRPr="00810B8B">
              <w:rPr>
                <w:rFonts w:ascii="Arial" w:eastAsiaTheme="minorEastAsia" w:hAnsi="Arial" w:cs="Arial"/>
              </w:rPr>
              <w:t>Kompatybilność elektromagnetyczna (EMC) – Część 4-8: Metody badań i pomiarów – Badanie odporności na pole magnetyczne o częstotliwości sieci elektroenergetycznej</w:t>
            </w:r>
          </w:p>
          <w:p w:rsidR="00DB3A3C" w:rsidRPr="00810B8B" w:rsidRDefault="00DB3A3C">
            <w:pPr>
              <w:spacing w:before="120"/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61000-4-8:2010 (U)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61000-4-9:12.1998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(1993),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Część 4-9: Metody badań i pomiarów – Badanie odporności na impulsowe pole magnetyczne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 xml:space="preserve">PN-EN 61000-4-9:1998/A1:07.2003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</w:rPr>
              <w:t>(2000)</w:t>
            </w:r>
            <w:r w:rsidRPr="00810B8B">
              <w:rPr>
                <w:rFonts w:ascii="Arial" w:eastAsiaTheme="minorEastAsia" w:hAnsi="Arial" w:cs="Arial"/>
              </w:rPr>
              <w:t xml:space="preserve">,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 xml:space="preserve">Kompatybilność elektromagnetyczna (EMC) –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br/>
            </w:r>
            <w:r w:rsidRPr="00810B8B">
              <w:rPr>
                <w:rFonts w:ascii="Arial" w:eastAsiaTheme="minorEastAsia" w:hAnsi="Arial" w:cs="Arial"/>
              </w:rPr>
              <w:t xml:space="preserve">Część 4-9: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Metody badań i pomiarów – Badanie odporności na impulsowe pole magnetyczne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61000-4-10:07.1999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(1993),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Część 4-10: Metody badań i pomiarów – Badanie odporności na pole magnetyczne oscylacyjnie tłumione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61000-4-10:1999/A1:07.2003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(2001),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Część 4-10: Metody badań i pomiarów – Badanie odporności na pole magnetyczne oscylacyjne tłumione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61000-4-11:07.2007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(2004),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Część 4-11: Metody badań i pomiarów – Badania odporności na zapady napięcia, krótkie przerwy i zmiany napięcia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61000-4-12:08.2009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(2006)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Kompatybilność elektromagnetyczna (EMC) – Część 4-12: Metody badań i pomiarów – Badanie odporności na tłumione przebiegi sinusoidalne – Podstawowa publikacja EMC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PN-EN 61000-4-13:01.2007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  <w:color w:val="000000"/>
              </w:rPr>
              <w:t>(2002)</w:t>
            </w:r>
            <w:r w:rsidRPr="00810B8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Część 4-13: Metody badań i pomiarów – Harmoniczne i interharmoniczne wraz z sygnałami sieciowymi w przyłączu zasilającym prądu przemiennego – Badania odporności na zaburzenia małej częstotliwości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PN-EN 61000-4-13:2007/A1:12.2010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  <w:color w:val="000000"/>
              </w:rPr>
              <w:t>(2009)</w:t>
            </w:r>
            <w:r w:rsidRPr="00810B8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Kompatybilność elektromagnetyczna (EMC) – 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Część 4-13: Metody badań i pomiarów – Harmoniczne i interharmoniczne wraz z sygnałami sieciowymi w przyłączu zasilającym prądu przemiennego – Badania odporności na zaburzenia małej częstotliwości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61000-4-14:01.2002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(1996),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  <w:r w:rsidRPr="00810B8B">
              <w:rPr>
                <w:rFonts w:ascii="Arial" w:eastAsiaTheme="minorEastAsia" w:hAnsi="Arial" w:cs="Arial"/>
              </w:rPr>
              <w:br/>
              <w:t>Część 4-14: Metody badań i pomiarów – Badanie odporności na wahania napięcia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5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9072"/>
      </w:tblGrid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61000-4-14:2002/A1:09.2006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(2004),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 xml:space="preserve">Kompatybilność elektromagnetyczna (EMC) – 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Część 4-14: Metody badań i pomiarów – Badanie odporności na wahania napięcia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61000-4-15:09.1999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(1998</w:t>
            </w:r>
            <w:r w:rsidRPr="00810B8B">
              <w:rPr>
                <w:rFonts w:ascii="Arial" w:eastAsiaTheme="minorEastAsia" w:hAnsi="Arial" w:cs="Arial"/>
              </w:rPr>
              <w:t xml:space="preserve">), Kompatybilność elektromagnetyczna (EMC) – </w:t>
            </w:r>
            <w:r w:rsidRPr="00810B8B">
              <w:rPr>
                <w:rFonts w:ascii="Arial" w:eastAsiaTheme="minorEastAsia" w:hAnsi="Arial" w:cs="Arial"/>
              </w:rPr>
              <w:br/>
              <w:t>Część 4-15: Metody badań i pomiarów – Miernik migotania światła – Specyfikacja funkcjonalna i projektowa</w:t>
            </w:r>
          </w:p>
          <w:p w:rsidR="00DB3A3C" w:rsidRPr="00810B8B" w:rsidRDefault="00DB3A3C">
            <w:pPr>
              <w:spacing w:before="60"/>
              <w:rPr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61000-4-15:2011(U)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61000-4-15:1999/Ap1: 11.2003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  <w:r w:rsidRPr="00810B8B">
              <w:rPr>
                <w:rFonts w:ascii="Arial" w:eastAsiaTheme="minorEastAsia" w:hAnsi="Arial" w:cs="Arial"/>
              </w:rPr>
              <w:br/>
              <w:t>Część 4-15: Metody badań i pomiarów – Miernik migotania światła – Specyfikacja funkcjonalna i projektowa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61000-4-15:1999/A1: 04.2005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(2003),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  <w:r w:rsidRPr="00810B8B">
              <w:rPr>
                <w:rFonts w:ascii="Arial" w:eastAsiaTheme="minorEastAsia" w:hAnsi="Arial" w:cs="Arial"/>
              </w:rPr>
              <w:br/>
              <w:t>Część 4-15: Metody badań i pomiarów – Miernik migotania światła – Specyfikacja funkcjonalna i projektowa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61000-4-16:11.2001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(1998)</w:t>
            </w:r>
            <w:r w:rsidRPr="00810B8B">
              <w:rPr>
                <w:rFonts w:ascii="Arial" w:eastAsiaTheme="minorEastAsia" w:hAnsi="Arial" w:cs="Arial"/>
              </w:rPr>
              <w:t xml:space="preserve">,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4-16: Metody badań i pomiarów. Badanie odporności na asymetryczne zaburzenia przewodzone w zakresie częstotliwości od 0 Hz do 150 kHz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 xml:space="preserve">PN-EN 61000-4-16:2001/A1:09.2006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</w:rPr>
              <w:t xml:space="preserve">(2004),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 xml:space="preserve">Kompatybilność elektromagnetyczna (EMC) – 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Część 4-16: Metody badań i pomiarów – Badanie odporności na asymetryczne zaburzenia przewodzone w zakresie częstotliwości od 0 Hz do 150 kHz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61000-4-17:05.2004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(1999),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4-17: Metody badań i pomiarów. Badanie odporności na obecność składowej zmiennej w stałym napięciu zasilającym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61000-4-17:2004/A1:09.2006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(2004)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 xml:space="preserve">Kompatybilność elektromagnetyczna (EMC) – 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Część 4-17: Metody badań i pomiarów – Badanie odporności na obecność składowej zmiennej w stałym napięciu zasilającym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ind w:right="62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PN-EN 61000-4-17:2004/A2:01.2011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 xml:space="preserve">(2009), 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Kompatybilność elektromagnetyczna (EMC) – </w:t>
            </w:r>
            <w:r w:rsidRPr="00810B8B">
              <w:rPr>
                <w:rFonts w:ascii="Arial" w:eastAsiaTheme="minorEastAsia" w:hAnsi="Arial" w:cs="Arial"/>
                <w:color w:val="000000"/>
              </w:rPr>
              <w:br/>
              <w:t>Część 4-17: Metody badań i pomiarów – Badanie odporności na obecność składowej zmiennej w stałym napięciu zasilającym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61000-4-18:12.2009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(2007,)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</w:t>
            </w:r>
            <w:r w:rsidRPr="00810B8B">
              <w:rPr>
                <w:rFonts w:ascii="Arial" w:eastAsiaTheme="minorEastAsia" w:hAnsi="Arial" w:cs="Arial"/>
              </w:rPr>
              <w:br/>
              <w:t>Część 4-18: Metody badań i pomiarów – Badanie odporności na tłumiony przebieg oscylacyjny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PN-EN 61000-4-20:03.2007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(2003),</w:t>
            </w:r>
            <w:r w:rsidRPr="00810B8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 xml:space="preserve">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Część 4-20: Metody badań i pomiarów – Badanie emisji i odporności w falowodach z poprzeczną falą elektromagnetyczną (TEM)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 xml:space="preserve">PN-EN 61000-4-20:2007/A1:08.2008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</w:rPr>
              <w:t>(2007,)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 xml:space="preserve"> Kompatybilność elektromagnetyczna (EMC) –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br/>
              <w:t>Część 4-20: Metody badań i pomiarów – Badanie emisji i odporności w falowodach z poprzeczną falą elektromagnetyczną (TEM)</w:t>
            </w:r>
          </w:p>
          <w:p w:rsidR="00DB3A3C" w:rsidRPr="00810B8B" w:rsidRDefault="00DB3A3C">
            <w:pPr>
              <w:spacing w:before="120"/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61000-4-20:2011 (U)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 xml:space="preserve">PN-EN 61000-4-20:2007/A1:08.2008 </w:t>
            </w:r>
            <w:r w:rsidRPr="00810B8B">
              <w:rPr>
                <w:rStyle w:val="biggertext"/>
                <w:rFonts w:ascii="Arial" w:eastAsiaTheme="minorEastAsia" w:hAnsi="Arial" w:cs="Arial"/>
                <w:i/>
                <w:iCs/>
              </w:rPr>
              <w:t>(2007,)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 xml:space="preserve"> Kompatybilność elektromagnetyczna (EMC) –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br/>
              <w:t>Część 4-20: Metody badań i pomiarów – Badanie emisji i odporności w falowodach z poprzeczną falą elektromagnetyczną (TEM)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PN-EN 61000-4-21:06.2010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(2003)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Kompatybilność elektromagnetyczna (EMC) – Część 4-21: Metody badań i pomiarów – Metody badań w komorze rewerberacyjnej</w:t>
            </w:r>
          </w:p>
          <w:p w:rsidR="00DB3A3C" w:rsidRPr="00810B8B" w:rsidRDefault="00DB3A3C">
            <w:pPr>
              <w:spacing w:before="120"/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Zastąpiona przez PN-EN 61000-4-21:2011 (U)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61000-4-24:03.2002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(1997),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</w:t>
            </w:r>
            <w:r w:rsidRPr="00810B8B">
              <w:rPr>
                <w:rFonts w:ascii="Arial" w:eastAsiaTheme="minorEastAsia" w:hAnsi="Arial" w:cs="Arial"/>
              </w:rPr>
              <w:br/>
              <w:t>Część 4-24: Metody badań i pomiarów – Metody badań urządzeń ochronnych przed zaburzeniami przewodzonymi HEMP. Publikacja podstawowa EMC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61000-4-27:07.2004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 xml:space="preserve">,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4-27: Metody badań i pomiarów – Badanie odporności na asymetrię napięcia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5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9072"/>
      </w:tblGrid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PN-EN 61000-4-27:2004/A1:01.2011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 xml:space="preserve">(2009), </w:t>
            </w:r>
            <w:r w:rsidRPr="00810B8B">
              <w:rPr>
                <w:rFonts w:ascii="Arial" w:eastAsiaTheme="minorEastAsia" w:hAnsi="Arial" w:cs="Arial"/>
                <w:color w:val="000000"/>
              </w:rPr>
              <w:t>Kompatybilność elektromagnetyczna (EMC) –</w:t>
            </w:r>
            <w:r w:rsidRPr="00810B8B">
              <w:rPr>
                <w:rFonts w:ascii="Arial" w:eastAsiaTheme="minorEastAsia" w:hAnsi="Arial" w:cs="Arial"/>
                <w:color w:val="000000"/>
              </w:rPr>
              <w:br/>
              <w:t>Część 4-27: Metody badań i pomiarów – Badanie odporności na asymetrię napięcia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61000-4-28:02.2004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 xml:space="preserve">,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4-28: Metody badań i pomiarów – Badanie odporności na zmiany częstotliwości sieci zasilającej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61000-4-28:2004/A1:09.2006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(2004)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 xml:space="preserve">Kompatybilność elektromagnetyczna (EMC) – </w:t>
            </w:r>
          </w:p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Część 4-28: Metody badań i pomiarów – Badanie odporności na zmiany częstotliwości sieci zasilającej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PN-EN 61000-4-28:2004/A2:01.2011 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(2009), Kompatybilność elektromagnetyczna (EMC) – </w:t>
            </w:r>
            <w:r w:rsidRPr="00810B8B">
              <w:rPr>
                <w:rFonts w:ascii="Arial" w:eastAsiaTheme="minorEastAsia" w:hAnsi="Arial" w:cs="Arial"/>
                <w:color w:val="000000"/>
              </w:rPr>
              <w:br/>
              <w:t>Część 4-28: Metody badań i pomiarów – Badanie odporności na zmiany częstotliwości sieci zasilającej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61000-4-29:06.2004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 xml:space="preserve">,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4-29: Metody badań i pomiarów – Badanie odporności na zapady napięcia, krótkie przerwy i zmiany napięcia występujące w przyłączu zasilającym prądu stałego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61000-4-30:09.2011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(2009)</w:t>
            </w:r>
            <w:r w:rsidRPr="00810B8B">
              <w:rPr>
                <w:rFonts w:ascii="Arial" w:eastAsiaTheme="minorEastAsia" w:hAnsi="Arial" w:cs="Arial"/>
              </w:rPr>
              <w:t xml:space="preserve">,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4-30: Metody badań i pomiarów – Metody pomiaru jakości energii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61000-4-34:04.2009</w:t>
            </w:r>
            <w:r w:rsidRPr="00810B8B">
              <w:rPr>
                <w:rFonts w:ascii="Arial" w:eastAsiaTheme="minorEastAsia" w:hAnsi="Arial" w:cs="Arial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(2007),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4-34: Metody badań i pomiarów – Badania odporności na zapady napięcia, krótkie przerwy w zasilaniu i zmiany napięcia dla urządzeń o fazowym prądzie wejściowym powyżej 16 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61000-5-7:04.2005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(2001)</w:t>
            </w:r>
            <w:r w:rsidRPr="00810B8B">
              <w:rPr>
                <w:rFonts w:ascii="Arial" w:eastAsiaTheme="minorEastAsia" w:hAnsi="Arial" w:cs="Arial"/>
              </w:rPr>
              <w:t xml:space="preserve">, Kompatybilność elektromagnetyczna (EMC) –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Część 5-7: Wytyczne instalowania urządzeń i ograniczania zaburzeń – Stopnie ochrony przed zaburzeniami elektromagnetycznymi zapewniane przez obudowy (kod EM)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61000-6-1:09.2008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(2007)</w:t>
            </w:r>
            <w:r w:rsidRPr="00810B8B">
              <w:rPr>
                <w:rFonts w:ascii="Arial" w:eastAsiaTheme="minorEastAsia" w:hAnsi="Arial" w:cs="Arial"/>
              </w:rPr>
              <w:t>, Kompatybilność elektromagnetyczna (EMC) – Część 6-1: Normy ogólne – Odporność w środowiskach mieszkalnych, handlowych i lekko uprzemysłowionych</w:t>
            </w:r>
          </w:p>
          <w:p w:rsidR="00DB3A3C" w:rsidRPr="00810B8B" w:rsidRDefault="00DB3A3C">
            <w:pPr>
              <w:spacing w:before="6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61000-6-2:09.2008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(2005)</w:t>
            </w:r>
            <w:r w:rsidRPr="00810B8B">
              <w:rPr>
                <w:rFonts w:ascii="Arial" w:eastAsiaTheme="minorEastAsia" w:hAnsi="Arial" w:cs="Arial"/>
              </w:rPr>
              <w:t>, Kompatybilność elektromagnetyczna (EMC) – Część 6-2: Normy ogólne – Odporność w środowiskach przemysłowych</w:t>
            </w:r>
          </w:p>
          <w:p w:rsidR="00DB3A3C" w:rsidRPr="00810B8B" w:rsidRDefault="00DB3A3C">
            <w:pPr>
              <w:spacing w:before="6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61000-6-2:2008/Ap1:2009, Kompatybilność elektromagnetyczna (EMC) – Część 6-2: Normy ogólne – Odporność w środowiskach przemysłowych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61000-6-2:2008/Ap2:2009, Kompatybilność elektromagnetyczna (EMC) – Część 6-2: Normy ogólne – Odporność w środowiskach przemysłowych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61000-6-3:09.2008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(2007),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Część 6-3: Normy ogólne – </w:t>
            </w:r>
            <w:r w:rsidRPr="00810B8B">
              <w:rPr>
                <w:rStyle w:val="biggertext"/>
                <w:rFonts w:ascii="Arial" w:eastAsiaTheme="minorEastAsia" w:hAnsi="Arial" w:cs="Arial"/>
                <w:color w:val="000000"/>
              </w:rPr>
              <w:t>Norma emisji w środowiskach mieszkalnych, handlowych i lekko uprzemysłowionych</w:t>
            </w:r>
          </w:p>
          <w:p w:rsidR="00DB3A3C" w:rsidRPr="00810B8B" w:rsidRDefault="00DB3A3C">
            <w:pPr>
              <w:spacing w:before="6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3"/>
                <w:rFonts w:ascii="Arial" w:eastAsiaTheme="minorEastAsia" w:hAnsi="Arial" w:cs="Arial"/>
                <w:color w:val="000000"/>
                <w:sz w:val="20"/>
                <w:szCs w:val="20"/>
              </w:rPr>
              <w:t>PN-EN 61000-6-3:2008/A1:08.2012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(2011)</w:t>
            </w:r>
            <w:r w:rsidRPr="00810B8B">
              <w:rPr>
                <w:rFonts w:ascii="Arial" w:eastAsiaTheme="minorEastAsia" w:hAnsi="Arial" w:cs="Arial"/>
                <w:color w:val="000000"/>
              </w:rPr>
              <w:t>, Kompatybilność elektromagnetyczna (EMC) – Część 6-3: Normy ogólne – Norma emisji w środowiskach: mieszkalnym, handlowym i lekko uprzemysłowionym</w:t>
            </w:r>
          </w:p>
          <w:p w:rsidR="00DB3A3C" w:rsidRPr="00810B8B" w:rsidRDefault="00DB3A3C">
            <w:pPr>
              <w:spacing w:before="60"/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PN-EN 61000-6-4:10.2008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(2007)</w:t>
            </w:r>
            <w:r w:rsidRPr="00810B8B">
              <w:rPr>
                <w:rFonts w:ascii="Arial" w:eastAsiaTheme="minorEastAsia" w:hAnsi="Arial" w:cs="Arial"/>
              </w:rPr>
              <w:t xml:space="preserve"> Kompatybilność elektromagnetyczna (EMC) – Część 6-4: Normy ogólne – Norma emisji w środowiskach przemysłowych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92" w:type="dxa"/>
          </w:tcPr>
          <w:p w:rsidR="00DB3A3C" w:rsidRPr="00810B8B" w:rsidRDefault="00DB3A3C">
            <w:pPr>
              <w:tabs>
                <w:tab w:val="left" w:pos="397"/>
              </w:tabs>
              <w:jc w:val="both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3"/>
                <w:rFonts w:ascii="Arial" w:eastAsiaTheme="minorEastAsia" w:hAnsi="Arial" w:cs="Arial"/>
                <w:color w:val="000000"/>
                <w:sz w:val="20"/>
                <w:szCs w:val="20"/>
              </w:rPr>
              <w:t>PN-EN 61000-6-4:2008/A1:08.2012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(2011),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Kompatybilność elektromagnetyczna (EMC) – Część 6-4: Normy ogólne – Norma emisji w środowiskach przemysłowych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9270"/>
      </w:tblGrid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PN-EN 61566:09.1999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Pomiary ekspozycji w polu elektromagnetycznym.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Natężenie pola w zakresie częstotliwości od 100 kHz do 1 GHz 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Style w:val="biggertext"/>
                <w:rFonts w:ascii="Arial" w:eastAsiaTheme="minorEastAsia" w:hAnsi="Arial" w:cs="Arial"/>
              </w:rPr>
            </w:pPr>
            <w:r w:rsidRPr="00810B8B">
              <w:rPr>
                <w:rStyle w:val="biggertext"/>
                <w:rFonts w:ascii="Arial" w:eastAsiaTheme="minorEastAsia" w:hAnsi="Arial" w:cs="Arial"/>
              </w:rPr>
              <w:t>PN-EN 62226-1:2008</w:t>
            </w:r>
            <w:r w:rsidRPr="00810B8B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(2005) ,</w:t>
            </w:r>
            <w:r w:rsidRPr="00810B8B">
              <w:rPr>
                <w:rFonts w:ascii="Arial" w:eastAsiaTheme="minorEastAsia" w:hAnsi="Arial" w:cs="Arial"/>
              </w:rPr>
              <w:t>E</w:t>
            </w:r>
            <w:r w:rsidRPr="00810B8B">
              <w:rPr>
                <w:rStyle w:val="biggertext"/>
                <w:rFonts w:ascii="Arial" w:eastAsiaTheme="minorEastAsia" w:hAnsi="Arial" w:cs="Arial"/>
              </w:rPr>
              <w:t>kspozycja na pola elektryczne lub magnetyczne z zakresu małych i pośrednich częstotliwości – Metody obliczeń gęstości prądu i wewnętrznego pola elektrycznego indukowanego w ciele człowieka – Część 1: Postanowienia ogólna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spacing w:after="104"/>
              <w:ind w:right="63"/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2"/>
                <w:rFonts w:ascii="Arial" w:eastAsiaTheme="minorEastAsia" w:hAnsi="Arial" w:cs="Arial"/>
                <w:color w:val="000000"/>
                <w:sz w:val="20"/>
                <w:szCs w:val="20"/>
              </w:rPr>
              <w:t>PN-EN 62311:05.2010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 xml:space="preserve">(2008), </w:t>
            </w:r>
            <w:r w:rsidRPr="00810B8B">
              <w:rPr>
                <w:rFonts w:ascii="Arial" w:eastAsiaTheme="minorEastAsia" w:hAnsi="Arial" w:cs="Arial"/>
                <w:color w:val="000000"/>
              </w:rPr>
              <w:t>Ocena urządzeń elektronicznych i elektrycznych w odniesieniu do ograniczeń ekspozycji ludności w polach elektromagnetycznych (0 Hz-300 GHz)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EMC i RTTE</w:t>
            </w:r>
          </w:p>
          <w:p w:rsidR="00DB3A3C" w:rsidRPr="00810B8B" w:rsidRDefault="00DB3A3C">
            <w:pPr>
              <w:tabs>
                <w:tab w:val="left" w:pos="397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tabs>
                <w:tab w:val="left" w:pos="397"/>
              </w:tabs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 xml:space="preserve">PN-ISO 7637-1:07.2012 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>(2002)</w:t>
            </w:r>
            <w:r w:rsidRPr="00810B8B">
              <w:rPr>
                <w:rFonts w:ascii="Arial" w:eastAsiaTheme="minorEastAsia" w:hAnsi="Arial" w:cs="Arial"/>
              </w:rPr>
              <w:t>, Pojazdy drogowe – Zaburzenia elektryczne związane z przewodzeniem i sprzężeniem – Część 1: Definicje i rozważania ogólne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tabs>
                <w:tab w:val="left" w:pos="397"/>
              </w:tabs>
              <w:rPr>
                <w:rFonts w:ascii="Arial" w:eastAsiaTheme="minorEastAsia" w:hAnsi="Arial" w:cs="Arial"/>
                <w:color w:val="000000"/>
              </w:rPr>
            </w:pPr>
            <w:r w:rsidRPr="00810B8B">
              <w:rPr>
                <w:rStyle w:val="biggertext3"/>
                <w:rFonts w:ascii="Arial" w:eastAsiaTheme="minorEastAsia" w:hAnsi="Arial" w:cs="Arial"/>
                <w:color w:val="000000"/>
                <w:sz w:val="20"/>
                <w:szCs w:val="20"/>
              </w:rPr>
              <w:t>PN-ISO 7637-3:11.2012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810B8B">
              <w:rPr>
                <w:rFonts w:ascii="Arial" w:eastAsiaTheme="minorEastAsia" w:hAnsi="Arial" w:cs="Arial"/>
                <w:i/>
                <w:iCs/>
                <w:color w:val="000000"/>
              </w:rPr>
              <w:t>(2007),</w:t>
            </w:r>
            <w:r w:rsidRPr="00810B8B">
              <w:rPr>
                <w:rFonts w:ascii="Arial" w:eastAsiaTheme="minorEastAsia" w:hAnsi="Arial" w:cs="Arial"/>
                <w:color w:val="000000"/>
              </w:rPr>
              <w:t xml:space="preserve"> Pojazdy drogowe – Zaburzenia elektryczne związane z przewodzeniem i sprzężeniem – Część 3: Rozchodzenie się elektrycznych stanów przejściowych powodowanych sprzężeniami pojemnościowymi i indukcyjnymi po przewodach innych niż przewody zasilania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 300 329:10.2000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Systemy i urządzenia radiowe (RES).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Kompatybilność elektromagnetyczna (EMC) urządzeń ulepszonego systemu cyfrowej telekomunikacji bezsznurowej (DECT)</w:t>
            </w:r>
          </w:p>
          <w:p w:rsidR="00DB3A3C" w:rsidRPr="00810B8B" w:rsidRDefault="00DB3A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eastAsiaTheme="minorEastAsia"/>
              </w:rPr>
              <w:br w:type="page"/>
            </w: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 300 342-1:07.1999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Urządzenia i systemy radiowe (RES).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810B8B">
              <w:rPr>
                <w:rFonts w:ascii="Arial" w:eastAsiaTheme="minorEastAsia" w:hAnsi="Arial" w:cs="Arial"/>
              </w:rPr>
              <w:t>Kompatybilność elektromagnetyczna (EMC) europejskiego cyfrowego komórkowego systemu telekomunikacyjnego (GSM 900 MHz i DCS 1800 MHz). Przewoźne i noszone urządzenia radiowe i wyposażenie dodatkowe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 300 342-2:07.1999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(1994)</w:t>
            </w:r>
            <w:r w:rsidRPr="00810B8B">
              <w:rPr>
                <w:rFonts w:ascii="Arial" w:eastAsiaTheme="minorEastAsia" w:hAnsi="Arial" w:cs="Arial"/>
              </w:rPr>
              <w:t>, Urządzenia i systemy radiowe (RES).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Kompatybilność elektromagnetyczna (EMC) europejskiego cyfrowego komórkowego systemu telekomunikacyjnego (GSM 900 MHz i DCS 1800 MHz). Radiowa stacja bazowa i wyposażenie dodatkowe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300 385 V1.2.1:12.2002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(1999)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stacjonarnych łączy radiowych i wyposażenia pomocniczego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300 386:04.2002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Urządzenia sieci telekomunikacyjnej. Wymagania kompatybilności elektromagnetycznej (EMC)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300 386-2:10.2000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Urządzenia sieci telekomunikacyjnej. Wymagania kompatybilności elektromagnetycznej (EMC). Norma dla rodziny wyrobów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300 446:10.2000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Kompatybilność elektromagnetyczna (EMC) aparatów telefonów bezsznurowych drugiej generacji (CT2) pracujących w zakresie częstotliwości od 864,1 MHz do 868,1 MHz, zapewniających również usługi publiczne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 300 447:10.2000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Urządzenia i systemy radiowe (RES).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Kompatybilność elektromagnetyczna (EMC) nadajników radiofonicznych UKF-FM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 300 680-1:08.2001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Urządzenia i systemy radiowe (RES).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Kompatybilność elektromagnetyczna (EMC) urządzeń radiowych pasma obywatelskiego (CB) i wyposażenia pomocniczego (przystosowanych do transmisji sygnałów mowy i/lub innych sygnałów.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Urządzenia o modulacji kąta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09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072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 300 680-2:08.2001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Urządzenia i systemy radiowe (RES).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Kompatybilność elektromagnetyczna (EMC) urządzeń radiowych pasma obywatelskiego (CB) i wyposażenia pomocniczego (przystosowanych do transmisji sygnałów mowy i/lub innych sygnałów.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Urządzenia o modulacji amplitudy dwuwstęgowe (DSB) i/lub jednowstęgowe (SSB)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>
      <w:r>
        <w:br w:type="page"/>
      </w:r>
    </w:p>
    <w:tbl>
      <w:tblPr>
        <w:tblW w:w="96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9129"/>
      </w:tblGrid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 300 682:10.2001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Urządzenia i systemy radiowe (RES).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Kompatybilność elektromagnetyczna (EMC) urządzeń lokalnych sieci przywoławczych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 300 683:09.2000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(1997)</w:t>
            </w:r>
            <w:r w:rsidRPr="00810B8B">
              <w:rPr>
                <w:rFonts w:ascii="Arial" w:eastAsiaTheme="minorEastAsia" w:hAnsi="Arial" w:cs="Arial"/>
              </w:rPr>
              <w:t>, Urządzenia i systemy radiowe (RES).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Kompatybilność elektromagnetyczna (EMC) urządzeń małego zasięgu pracujących na częstotliwościach pomiędzy 9 kHz i 25 GHz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301 489-1 V1.2.1:12.2002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dotycząca urządzeń i systemów radiowych. Część 1: Ogólne wymagania techniczne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301 489-1 V1.4.1:03.2005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(2002)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 – Norma kompatybilności elektromagnetycznej (EMC) dotycząca urządzeń i systemów radiowych – Część 1: Ogólne wymagania techniczne</w:t>
            </w:r>
          </w:p>
          <w:p w:rsidR="00DB3A3C" w:rsidRPr="00810B8B" w:rsidRDefault="00DB3A3C">
            <w:pPr>
              <w:jc w:val="right"/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Zharmonizowana z RTTE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tabs>
                <w:tab w:val="left" w:pos="214"/>
                <w:tab w:val="left" w:pos="427"/>
              </w:tabs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301 489-2 V1.2.1:12.2002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dla urządzeń i systemów radiowych. Część 2: Wymagania szczegółowe dla radiowych urządzeń przywoławczych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301 489-4 V1.2.1:02.2004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dotycząca urządzeń i systemów radiowych. Część 4: Wymagania szczegółowe dla stacjonarnych linii radiowych, wyposażenia pomocniczego i usług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301 489-5 V1.2.1:12.2002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dotycząca urządzeń i systemów radiowych. Część 5: Wymagania szczegółowe dla urządzeń lądowej radiokomunikacji ruchomej typu dyspozytorskiego (PMR) i wyposażenia pomocniczego (do transmisji sygnałów mowy i innych)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tabs>
                <w:tab w:val="clear" w:pos="648"/>
                <w:tab w:val="num" w:pos="720"/>
              </w:tabs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301 489-6 V1.2.1:12.2003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(2002)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dotycząca urządzeń i systemów radiowych. Część 5: Wymagania szczegółowe dla urządzeń systemu cyfrowej ulepszonej telekomunikacji bezsznurowej (DECT)</w:t>
            </w:r>
          </w:p>
          <w:p w:rsidR="00DB3A3C" w:rsidRPr="00810B8B" w:rsidRDefault="00DB3A3C">
            <w:pPr>
              <w:ind w:firstLine="288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tabs>
                <w:tab w:val="clear" w:pos="648"/>
                <w:tab w:val="num" w:pos="720"/>
              </w:tabs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301 489-9 V1.1.1:12.2002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 Norma kompatybilności elektromagnetycznej (EMC) dotycząca urządzeń i systemów radiowych.  Część 9: Wymagania szczegółowe dla mikrofonów bezprzewodowych i podobnych urządzeń łączności akustycznej wykorzystujących częstotliwości radiowe (RF)</w:t>
            </w:r>
          </w:p>
          <w:p w:rsidR="00DB3A3C" w:rsidRPr="00810B8B" w:rsidRDefault="00DB3A3C">
            <w:pPr>
              <w:ind w:firstLine="288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301 489-10 V1.3.1:12.2003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(2002)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dotycząca urządzeń i systemów radiowych. Część 10: Wymagania szczegółowe dla urządzeń telefonów bezsznurowych pierwszej (CT1 i CT1+) i drugiej (CT2) generacji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301 489-12 V1.1.1:05.2004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dotycząca urządzeń i systemów radiowych. Część 12: Wymagania szczegółowe dotyczące stacji końcowych z antenami o bardzo małej aperturze oraz interaktywnych naziemnych stacji satelitarnych pracujących w zakresach częstotliwości pomiędzy 4 GHz a 30 GHz w satelitarnej służbie stałej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301 489-13 V1.1.1:02.2003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dotycząca urządzeń i systemów radiowych. Część 13: Wymagania szczegółowe dla urządzeń radiowych pasma obywatelskiego (CB) i wyposażenia pomocniczego (do transmisji sygnałów mowy i innych)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DB3A3C" w:rsidRPr="00810B8B">
        <w:tc>
          <w:tcPr>
            <w:tcW w:w="510" w:type="dxa"/>
          </w:tcPr>
          <w:p w:rsidR="00DB3A3C" w:rsidRPr="00810B8B" w:rsidRDefault="00DB3A3C">
            <w:pPr>
              <w:numPr>
                <w:ilvl w:val="0"/>
                <w:numId w:val="1"/>
              </w:numPr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9129" w:type="dxa"/>
          </w:tcPr>
          <w:p w:rsidR="00DB3A3C" w:rsidRPr="00810B8B" w:rsidRDefault="00DB3A3C">
            <w:pPr>
              <w:rPr>
                <w:rFonts w:ascii="Arial" w:eastAsiaTheme="minorEastAsia" w:hAnsi="Arial" w:cs="Arial"/>
              </w:rPr>
            </w:pPr>
            <w:r w:rsidRPr="00810B8B">
              <w:rPr>
                <w:rFonts w:ascii="Arial" w:eastAsiaTheme="minorEastAsia" w:hAnsi="Arial" w:cs="Arial"/>
              </w:rPr>
              <w:t>PN-ETSI EN 301 489-15 V1.1.1:12.2002</w:t>
            </w:r>
            <w:r w:rsidRPr="00810B8B">
              <w:rPr>
                <w:rFonts w:ascii="Arial" w:eastAsiaTheme="minorEastAsia" w:hAnsi="Arial" w:cs="Arial"/>
                <w:i/>
                <w:iCs/>
              </w:rPr>
              <w:t xml:space="preserve"> (2000)</w:t>
            </w:r>
            <w:r w:rsidRPr="00810B8B">
              <w:rPr>
                <w:rFonts w:ascii="Arial" w:eastAsiaTheme="minorEastAsia" w:hAnsi="Arial" w:cs="Arial"/>
              </w:rPr>
              <w:t>, Kompatybilność elektromagnetyczna i zagadnienia widma radiowego (ERM). Norma kompatybilności elektromagnetycznej (EMC) dotycząca urządzeń i systemów radiowych. Część 15: Wymagania szczegółowe dla urządzeń radioamatorskich dostępnych w handlu</w:t>
            </w:r>
          </w:p>
          <w:p w:rsidR="00DB3A3C" w:rsidRPr="00810B8B" w:rsidRDefault="00DB3A3C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</w:tbl>
    <w:p w:rsidR="00DB3A3C" w:rsidRDefault="00DB3A3C"/>
    <w:sectPr w:rsidR="00DB3A3C" w:rsidSect="00DB3A3C">
      <w:headerReference w:type="default" r:id="rId7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8B" w:rsidRDefault="00810B8B">
      <w:r>
        <w:separator/>
      </w:r>
    </w:p>
  </w:endnote>
  <w:endnote w:type="continuationSeparator" w:id="0">
    <w:p w:rsidR="00810B8B" w:rsidRDefault="00810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8B" w:rsidRDefault="00810B8B">
      <w:r>
        <w:separator/>
      </w:r>
    </w:p>
  </w:footnote>
  <w:footnote w:type="continuationSeparator" w:id="0">
    <w:p w:rsidR="00810B8B" w:rsidRDefault="00810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3C" w:rsidRPr="001E61BB" w:rsidRDefault="001E61BB" w:rsidP="001E61BB">
    <w:pPr>
      <w:pStyle w:val="Nagwek"/>
      <w:framePr w:w="919" w:wrap="auto" w:vAnchor="text" w:hAnchor="page" w:x="5751" w:y="2"/>
      <w:jc w:val="center"/>
      <w:rPr>
        <w:rStyle w:val="Numerstrony"/>
        <w:rFonts w:ascii="Arial" w:hAnsi="Arial" w:cs="Arial"/>
        <w:sz w:val="18"/>
        <w:szCs w:val="18"/>
      </w:rPr>
    </w:pPr>
    <w:r w:rsidRPr="001E61BB">
      <w:rPr>
        <w:rStyle w:val="Numerstrony"/>
        <w:rFonts w:ascii="Arial" w:hAnsi="Arial" w:cs="Arial"/>
        <w:sz w:val="18"/>
        <w:szCs w:val="18"/>
      </w:rPr>
      <w:t xml:space="preserve">- </w:t>
    </w:r>
    <w:r w:rsidR="00FD5FB2" w:rsidRPr="001E61BB">
      <w:rPr>
        <w:rStyle w:val="Numerstrony"/>
        <w:rFonts w:ascii="Arial" w:hAnsi="Arial" w:cs="Arial"/>
        <w:sz w:val="18"/>
        <w:szCs w:val="18"/>
      </w:rPr>
      <w:fldChar w:fldCharType="begin"/>
    </w:r>
    <w:r w:rsidR="00DB3A3C" w:rsidRPr="001E61BB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="00FD5FB2" w:rsidRPr="001E61BB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10</w:t>
    </w:r>
    <w:r w:rsidR="00FD5FB2" w:rsidRPr="001E61BB">
      <w:rPr>
        <w:rStyle w:val="Numerstrony"/>
        <w:rFonts w:ascii="Arial" w:hAnsi="Arial" w:cs="Arial"/>
        <w:sz w:val="18"/>
        <w:szCs w:val="18"/>
      </w:rPr>
      <w:fldChar w:fldCharType="end"/>
    </w:r>
    <w:r w:rsidRPr="001E61BB">
      <w:rPr>
        <w:rStyle w:val="Numerstrony"/>
        <w:rFonts w:ascii="Arial" w:hAnsi="Arial" w:cs="Arial"/>
        <w:sz w:val="18"/>
        <w:szCs w:val="18"/>
      </w:rPr>
      <w:t xml:space="preserve"> -</w:t>
    </w:r>
  </w:p>
  <w:p w:rsidR="00DB3A3C" w:rsidRDefault="00DB3A3C">
    <w:pPr>
      <w:pStyle w:val="Nagwek"/>
      <w:jc w:val="center"/>
      <w:rPr>
        <w:rFonts w:ascii="Arial" w:hAnsi="Arial" w:cs="Arial"/>
      </w:rPr>
    </w:pPr>
  </w:p>
  <w:p w:rsidR="00DB3A3C" w:rsidRDefault="00DB3A3C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464E2"/>
    <w:multiLevelType w:val="singleLevel"/>
    <w:tmpl w:val="70D40302"/>
    <w:lvl w:ilvl="0">
      <w:start w:val="1"/>
      <w:numFmt w:val="decimal"/>
      <w:lvlText w:val="%1."/>
      <w:lvlJc w:val="right"/>
      <w:pPr>
        <w:tabs>
          <w:tab w:val="num" w:pos="648"/>
        </w:tabs>
        <w:ind w:firstLine="28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7CC32591"/>
    <w:multiLevelType w:val="hybridMultilevel"/>
    <w:tmpl w:val="0E02E314"/>
    <w:lvl w:ilvl="0" w:tplc="D86429F4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F16ECB0A">
      <w:start w:val="1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mirrorMargin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A3C"/>
    <w:rsid w:val="001E61BB"/>
    <w:rsid w:val="00810B8B"/>
    <w:rsid w:val="00DB3A3C"/>
    <w:rsid w:val="00FD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FB2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5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B2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D5FB2"/>
    <w:pPr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5FB2"/>
    <w:rPr>
      <w:rFonts w:ascii="Arial" w:hAnsi="Arial" w:cs="Arial"/>
      <w:sz w:val="20"/>
      <w:szCs w:val="20"/>
      <w:lang w:eastAsia="pl-PL"/>
    </w:rPr>
  </w:style>
  <w:style w:type="character" w:customStyle="1" w:styleId="biggertext">
    <w:name w:val="biggertext"/>
    <w:basedOn w:val="Domylnaczcionkaakapitu"/>
    <w:uiPriority w:val="99"/>
    <w:rsid w:val="00FD5FB2"/>
    <w:rPr>
      <w:rFonts w:ascii="Times New Roman" w:hAnsi="Times New Roman" w:cs="Times New Roman"/>
    </w:rPr>
  </w:style>
  <w:style w:type="character" w:customStyle="1" w:styleId="biggertext2">
    <w:name w:val="biggertext2"/>
    <w:basedOn w:val="Domylnaczcionkaakapitu"/>
    <w:uiPriority w:val="99"/>
    <w:rsid w:val="00FD5FB2"/>
    <w:rPr>
      <w:rFonts w:ascii="Times New Roman" w:hAnsi="Times New Roman" w:cs="Times New Roman"/>
      <w:sz w:val="28"/>
      <w:szCs w:val="28"/>
    </w:rPr>
  </w:style>
  <w:style w:type="character" w:customStyle="1" w:styleId="biggertext3">
    <w:name w:val="biggertext3"/>
    <w:basedOn w:val="Domylnaczcionkaakapitu"/>
    <w:uiPriority w:val="99"/>
    <w:rsid w:val="00FD5FB2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D5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B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D5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4660</Words>
  <Characters>27962</Characters>
  <Application>Microsoft Office Word</Application>
  <DocSecurity>0</DocSecurity>
  <Lines>233</Lines>
  <Paragraphs>65</Paragraphs>
  <ScaleCrop>false</ScaleCrop>
  <Company/>
  <LinksUpToDate>false</LinksUpToDate>
  <CharactersWithSpaces>32557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aktualnych norm EMC przetłumaczonych </dc:title>
  <dc:subject/>
  <dc:creator>Halina Tafel</dc:creator>
  <cp:keywords/>
  <dc:description/>
  <cp:lastModifiedBy>Halina Tafel</cp:lastModifiedBy>
  <cp:revision>4</cp:revision>
  <dcterms:created xsi:type="dcterms:W3CDTF">2013-02-08T21:59:00Z</dcterms:created>
  <dcterms:modified xsi:type="dcterms:W3CDTF">2013-02-08T22:03:00Z</dcterms:modified>
</cp:coreProperties>
</file>